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710F2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партия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710F2A">
        <w:rPr>
          <w:rFonts w:ascii="Times New Roman" w:hAnsi="Times New Roman" w:cs="Times New Roman"/>
          <w:i/>
        </w:rPr>
        <w:t>СЪЮЗ НА ДЕМОКРАТИЧНИТЕ СИЛИ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 за </w:t>
      </w:r>
      <w:r w:rsidR="00710F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общински съветници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710F2A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Иванов Петров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„СЪЮЗ НА ДЕМОКРАТИЧНИТЕ СИЛИ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E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сътветници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2F1EAF" w:rsidRDefault="002F1EAF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 №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E0C6D" w:rsidRDefault="009E0C6D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актуално правно състояние;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партия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„СЪЮЗ НА ДЕМОКРАТИЧНИТЕ СИЛИ“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62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№ № 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2262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F85D5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„СЪЮЗ НА ДЕМОКРАТИЧНИТЕ СИЛИ“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9571E">
        <w:rPr>
          <w:rFonts w:ascii="Times New Roman" w:hAnsi="Times New Roman" w:cs="Times New Roman"/>
          <w:b/>
          <w:sz w:val="24"/>
          <w:szCs w:val="24"/>
        </w:rPr>
        <w:t>СДС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D04B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D04B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  <w:bookmarkStart w:id="0" w:name="_GoBack"/>
      <w:bookmarkEnd w:id="0"/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901D4"/>
    <w:rsid w:val="002B19F1"/>
    <w:rsid w:val="002F1EAF"/>
    <w:rsid w:val="00307D8E"/>
    <w:rsid w:val="003D416A"/>
    <w:rsid w:val="004A11F5"/>
    <w:rsid w:val="00517E43"/>
    <w:rsid w:val="00696261"/>
    <w:rsid w:val="006E1F91"/>
    <w:rsid w:val="00710F2A"/>
    <w:rsid w:val="009C63D6"/>
    <w:rsid w:val="009E0C6D"/>
    <w:rsid w:val="00A57906"/>
    <w:rsid w:val="00A67CF8"/>
    <w:rsid w:val="00AE1971"/>
    <w:rsid w:val="00B5666B"/>
    <w:rsid w:val="00BB3291"/>
    <w:rsid w:val="00C125B7"/>
    <w:rsid w:val="00C83806"/>
    <w:rsid w:val="00C878FC"/>
    <w:rsid w:val="00D04B9B"/>
    <w:rsid w:val="00D466CA"/>
    <w:rsid w:val="00D61646"/>
    <w:rsid w:val="00D73A88"/>
    <w:rsid w:val="00E37AA6"/>
    <w:rsid w:val="00E42A7C"/>
    <w:rsid w:val="00E61164"/>
    <w:rsid w:val="00ED4819"/>
    <w:rsid w:val="00F14964"/>
    <w:rsid w:val="00F40E01"/>
    <w:rsid w:val="00F85D51"/>
    <w:rsid w:val="00F9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2023-09-15T08:21:00Z</dcterms:created>
  <dcterms:modified xsi:type="dcterms:W3CDTF">2023-09-15T13:04:00Z</dcterms:modified>
</cp:coreProperties>
</file>